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3af41640204741" /></Relationships>
</file>

<file path=word/document.xml><?xml version="1.0" encoding="utf-8"?>
<w:document xmlns:w="http://schemas.openxmlformats.org/wordprocessingml/2006/main">
  <w:body>
    <w:p>
      <w:pPr>
        <w:pStyle w:val="Kicker"/>
      </w:pPr>
      <w:r>
        <w:t xml:space="preserve">NORTHSTAR PROJECT</w:t>
      </w:r>
    </w:p>
    <w:p>
      <w:pPr>
        <w:pStyle w:val="Title"/>
      </w:pPr>
      <w:r>
        <w:t xml:space="preserve">Northstar Risk Register</w:t>
      </w:r>
    </w:p>
    <w:p>
      <w:pPr>
        <w:pStyle w:val="Subtitle"/>
      </w:pPr>
      <w:r>
        <w:t xml:space="preserve">Updated 26 August 2026 · fictional evaluation document</w:t>
      </w:r>
    </w:p>
    <w:p>
      <w:pPr>
        <w:spacing w:after="260"/>
      </w:pPr>
      <w:r>
        <w:t/>
      </w:r>
    </w:p>
    <w:p>
      <w:pPr>
        <w:pStyle w:val="Heading1"/>
      </w:pPr>
      <w:r>
        <w:t xml:space="preserve">Open access risks</w:t>
      </w:r>
    </w:p>
    <w:p>
      <w:pPr>
        <w:pStyle w:val="Normal"/>
      </w:pPr>
      <w:r>
        <w:t xml:space="preserve">The register tracks operational follow-up. It does not replace the governing access policy.</w:t>
      </w:r>
    </w:p>
    <w:tbl>
      <w:tblPr>
        <w:tblW w:w="5000" w:type="pct"/>
        <w:tblBorders>
          <w:top w:val="single" w:color="D5A06C" w:sz="8"/>
          <w:bottom w:val="single" w:color="D5A06C" w:sz="8"/>
          <w:left w:val="single" w:color="EEE8E6" w:sz="6"/>
          <w:right w:val="single" w:color="EEE8E6" w:sz="6"/>
          <w:insideH w:val="single" w:color="EEE8E6" w:sz="6"/>
          <w:insideV w:val="single" w:color="EEE8E6" w:sz="6"/>
        </w:tblBorders>
      </w:tblPr>
      <w:tr>
        <w:tc>
          <w:tcPr>
            <w:tcW w:w="2400" w:type="dxa"/>
            <w:shd w:val="clear" w:fill="482B48"/>
          </w:tcPr>
          <w:p>
            <w:r>
              <w:rPr>
                <w:b/>
                <w:color w:val="FFFFFF"/>
              </w:rPr>
              <w:t>Risk</w:t>
            </w:r>
          </w:p>
        </w:tc>
        <w:tc>
          <w:tcPr>
            <w:tcW w:w="2400" w:type="dxa"/>
            <w:shd w:val="clear" w:fill="482B48"/>
          </w:tcPr>
          <w:p>
            <w:r>
              <w:rPr>
                <w:b/>
                <w:color w:val="FFFFFF"/>
              </w:rPr>
              <w:t>Owner</w:t>
            </w:r>
          </w:p>
        </w:tc>
        <w:tc>
          <w:tcPr>
            <w:tcW w:w="2400" w:type="dxa"/>
            <w:shd w:val="clear" w:fill="482B48"/>
          </w:tcPr>
          <w:p>
            <w:r>
              <w:rPr>
                <w:b/>
                <w:color w:val="FFFFFF"/>
              </w:rPr>
              <w:t>Deadline</w:t>
            </w:r>
          </w:p>
        </w:tc>
        <w:tc>
          <w:tcPr>
            <w:tcW w:w="2400" w:type="dxa"/>
            <w:shd w:val="clear" w:fill="482B48"/>
          </w:tcPr>
          <w:p>
            <w:r>
              <w:rPr>
                <w:b/>
                <w:color w:val="FFFFFF"/>
              </w:rPr>
              <w:t>Status</w:t>
            </w:r>
          </w:p>
        </w:tc>
      </w:tr>
      <w:tr>
        <w:tc>
          <w:tcPr>
            <w:tcW w:w="2400" w:type="dxa"/>
            <w:shd w:val="clear" w:fill="FBF8F2"/>
          </w:tcPr>
          <w:p>
            <w:r>
              <w:rPr>
                <w:b w:val="false"/>
                <w:color w:val="241B25"/>
              </w:rPr>
              <w:t>Stale supplier access</w:t>
            </w:r>
          </w:p>
        </w:tc>
        <w:tc>
          <w:tcPr>
            <w:tcW w:w="2400" w:type="dxa"/>
            <w:shd w:val="clear" w:fill="FBF8F2"/>
          </w:tcPr>
          <w:p>
            <w:r>
              <w:rPr>
                <w:b w:val="false"/>
                <w:color w:val="241B25"/>
              </w:rPr>
              <w:t>Mira Patel</w:t>
            </w:r>
          </w:p>
        </w:tc>
        <w:tc>
          <w:tcPr>
            <w:tcW w:w="2400" w:type="dxa"/>
            <w:shd w:val="clear" w:fill="FBF8F2"/>
          </w:tcPr>
          <w:p>
            <w:r>
              <w:rPr>
                <w:b w:val="false"/>
                <w:color w:val="241B25"/>
              </w:rPr>
              <w:t>15 September 2026</w:t>
            </w:r>
          </w:p>
        </w:tc>
        <w:tc>
          <w:tcPr>
            <w:tcW w:w="2400" w:type="dxa"/>
            <w:shd w:val="clear" w:fill="FBF8F2"/>
          </w:tcPr>
          <w:p>
            <w:r>
              <w:rPr>
                <w:b w:val="false"/>
                <w:color w:val="241B25"/>
              </w:rPr>
              <w:t>Open</w:t>
            </w:r>
          </w:p>
        </w:tc>
      </w:tr>
      <w:tr>
        <w:tc>
          <w:tcPr>
            <w:tcW w:w="2400" w:type="dxa"/>
            <w:shd w:val="clear" w:fill="FBF8F2"/>
          </w:tcPr>
          <w:p>
            <w:r>
              <w:rPr>
                <w:b w:val="false"/>
                <w:color w:val="241B25"/>
              </w:rPr>
              <w:t>Unverified emergency accounts</w:t>
            </w:r>
          </w:p>
        </w:tc>
        <w:tc>
          <w:tcPr>
            <w:tcW w:w="2400" w:type="dxa"/>
            <w:shd w:val="clear" w:fill="FBF8F2"/>
          </w:tcPr>
          <w:p>
            <w:r>
              <w:rPr>
                <w:b w:val="false"/>
                <w:color w:val="241B25"/>
              </w:rPr>
              <w:t>Jonah Reed</w:t>
            </w:r>
          </w:p>
        </w:tc>
        <w:tc>
          <w:tcPr>
            <w:tcW w:w="2400" w:type="dxa"/>
            <w:shd w:val="clear" w:fill="FBF8F2"/>
          </w:tcPr>
          <w:p>
            <w:r>
              <w:rPr>
                <w:b w:val="false"/>
                <w:color w:val="241B25"/>
              </w:rPr>
              <w:t>22 September 2026</w:t>
            </w:r>
          </w:p>
        </w:tc>
        <w:tc>
          <w:tcPr>
            <w:tcW w:w="2400" w:type="dxa"/>
            <w:shd w:val="clear" w:fill="FBF8F2"/>
          </w:tcPr>
          <w:p>
            <w:r>
              <w:rPr>
                <w:b w:val="false"/>
                <w:color w:val="241B25"/>
              </w:rPr>
              <w:t>Monitoring</w:t>
            </w:r>
          </w:p>
        </w:tc>
      </w:tr>
      <w:tr>
        <w:tc>
          <w:tcPr>
            <w:tcW w:w="2400" w:type="dxa"/>
            <w:shd w:val="clear" w:fill="FBF8F2"/>
          </w:tcPr>
          <w:p>
            <w:r>
              <w:rPr>
                <w:b w:val="false"/>
                <w:color w:val="241B25"/>
              </w:rPr>
              <w:t>Incomplete removal evidence</w:t>
            </w:r>
          </w:p>
        </w:tc>
        <w:tc>
          <w:tcPr>
            <w:tcW w:w="2400" w:type="dxa"/>
            <w:shd w:val="clear" w:fill="FBF8F2"/>
          </w:tcPr>
          <w:p>
            <w:r>
              <w:rPr>
                <w:b w:val="false"/>
                <w:color w:val="241B25"/>
              </w:rPr>
              <w:t>Access Governance</w:t>
            </w:r>
          </w:p>
        </w:tc>
        <w:tc>
          <w:tcPr>
            <w:tcW w:w="2400" w:type="dxa"/>
            <w:shd w:val="clear" w:fill="FBF8F2"/>
          </w:tcPr>
          <w:p>
            <w:r>
              <w:rPr>
                <w:b w:val="false"/>
                <w:color w:val="241B25"/>
              </w:rPr>
              <w:t>30 September 2026</w:t>
            </w:r>
          </w:p>
        </w:tc>
        <w:tc>
          <w:tcPr>
            <w:tcW w:w="2400" w:type="dxa"/>
            <w:shd w:val="clear" w:fill="FBF8F2"/>
          </w:tcPr>
          <w:p>
            <w:r>
              <w:rPr>
                <w:b w:val="false"/>
                <w:color w:val="241B25"/>
              </w:rPr>
              <w:t>Planned</w:t>
            </w:r>
          </w:p>
        </w:tc>
      </w:tr>
    </w:tbl>
    <w:p>
      <w:pPr>
        <w:pStyle w:val="Heading1"/>
      </w:pPr>
      <w:r>
        <w:t xml:space="preserve">Status note</w:t>
      </w:r>
    </w:p>
    <w:p>
      <w:pPr>
        <w:pStyle w:val="Normal"/>
      </w:pPr>
      <w:r>
        <w:t xml:space="preserve">Mira Patel is collecting owner decisions. The stale supplier access item remains open until every decision is recorded.</w:t>
      </w:r>
    </w:p>
    <w:sectPr>
      <w:footerReference xmlns:r="http://schemas.openxmlformats.org/officeDocument/2006/relationships" w:type="default" r:id="R5e77dfce9c9f4fc4"/>
      <w:pgMar w:top="900" w:right="900" w:bottom="900" w:left="900" w:header="360" w:footer="36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756A72"/>
        <w:sz w:val="16"/>
      </w:rPr>
      <w:t>OriginPage Word-search fixture · contains no real people or organizations</w:t>
    </w:r>
  </w:p>
</w:ftr>
</file>

<file path=word/header1.xml><?xml version="1.0" encoding="utf-8"?>
<w:hdr xmlns:w="http://schemas.openxmlformats.org/wordprocessingml/2006/main">
  <w:p>
    <w:pPr>
      <w:jc w:val="right"/>
    </w:pPr>
    <w:r>
      <w:rPr>
        <w:color w:val="98535A"/>
        <w:b/>
      </w:rPr>
      <w:t>SAFE FICTIONAL CORPUS</w:t>
    </w:r>
  </w:p>
</w:hdr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</w:num>
</w:numbering>
</file>

<file path=word/styles.xml><?xml version="1.0" encoding="utf-8"?>
<w:styles xmlns:w="http://schemas.openxmlformats.org/wordprocessingml/2006/main">
  <w:style w:type="paragraph" w:styleId="Normal" w:default="true" w:customStyle="false">
    <w:name w:val="Normal"/>
    <w:basedOn w:val="Normal"/>
    <w:next w:val="Normal"/>
    <w:pPr>
      <w:spacing w:before="0" w:after="140" w:line="300" w:lineRule="auto"/>
    </w:pPr>
    <w:rPr>
      <w:rFonts w:ascii="Aptos" w:hAnsi="Aptos"/>
      <w:sz w:val="21"/>
      <w:color w:val="241B25"/>
    </w:rPr>
  </w:style>
  <w:style w:type="paragraph" w:styleId="Title" w:default="false" w:customStyle="true">
    <w:name w:val="Title"/>
    <w:basedOn w:val="Normal"/>
    <w:next w:val="Normal"/>
    <w:pPr>
      <w:spacing w:before="0" w:after="80" w:line="300" w:lineRule="auto"/>
    </w:pPr>
    <w:rPr>
      <w:rFonts w:ascii="Aptos" w:hAnsi="Aptos"/>
      <w:sz w:val="42"/>
      <w:color w:val="482B48"/>
      <w:b/>
    </w:rPr>
  </w:style>
  <w:style w:type="paragraph" w:styleId="Subtitle" w:default="false" w:customStyle="true">
    <w:name w:val="Subtitle"/>
    <w:basedOn w:val="Normal"/>
    <w:next w:val="Normal"/>
    <w:pPr>
      <w:spacing w:before="0" w:after="60" w:line="300" w:lineRule="auto"/>
    </w:pPr>
    <w:rPr>
      <w:rFonts w:ascii="Aptos" w:hAnsi="Aptos"/>
      <w:sz w:val="18"/>
      <w:color w:val="756A72"/>
    </w:rPr>
  </w:style>
  <w:style w:type="paragraph" w:styleId="Kicker" w:default="false" w:customStyle="true">
    <w:name w:val="Kicker"/>
    <w:basedOn w:val="Normal"/>
    <w:next w:val="Normal"/>
    <w:pPr>
      <w:spacing w:before="0" w:after="80" w:line="300" w:lineRule="auto"/>
    </w:pPr>
    <w:rPr>
      <w:rFonts w:ascii="Aptos" w:hAnsi="Aptos"/>
      <w:sz w:val="17"/>
      <w:color w:val="98535A"/>
      <w:b/>
      <w:caps/>
    </w:rPr>
  </w:style>
  <w:style w:type="paragraph" w:styleId="Heading1" w:default="false" w:customStyle="true">
    <w:name w:val="Heading 1"/>
    <w:basedOn w:val="Normal"/>
    <w:next w:val="Normal"/>
    <w:pPr>
      <w:spacing w:before="240" w:after="90" w:line="300" w:lineRule="auto"/>
    </w:pPr>
    <w:rPr>
      <w:rFonts w:ascii="Aptos" w:hAnsi="Aptos"/>
      <w:sz w:val="25"/>
      <w:color w:val="482B48"/>
      <w:b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815701b1c7749c1" /><Relationship Type="http://schemas.openxmlformats.org/officeDocument/2006/relationships/numbering" Target="/word/numbering.xml" Id="Rb91ab3fa71564823" /><Relationship Type="http://schemas.openxmlformats.org/officeDocument/2006/relationships/header" Target="/word/header1.xml" Id="R3cb4c537d90a41d6" /><Relationship Type="http://schemas.openxmlformats.org/officeDocument/2006/relationships/footer" Target="/word/footer1.xml" Id="R5e77dfce9c9f4fc4" /></Relationships>
</file>